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exact"/>
        <w:jc w:val="center"/>
        <w:rPr>
          <w:rFonts w:hint="default" w:ascii="宋体" w:hAnsi="宋体" w:eastAsia="宋体"/>
          <w:spacing w:val="-5"/>
          <w:sz w:val="28"/>
          <w:szCs w:val="28"/>
          <w:lang w:val="en-US" w:eastAsia="zh-CN"/>
        </w:rPr>
      </w:pPr>
      <w:bookmarkStart w:id="0" w:name="_Toc142890354"/>
      <w:r>
        <w:rPr>
          <w:rFonts w:hint="eastAsia" w:ascii="宋体" w:hAnsi="宋体"/>
          <w:spacing w:val="-5"/>
          <w:sz w:val="28"/>
          <w:szCs w:val="28"/>
          <w:lang w:val="en-US" w:eastAsia="zh-CN"/>
        </w:rPr>
        <w:t>宁陕县行政审批服务局</w:t>
      </w:r>
    </w:p>
    <w:p>
      <w:pPr>
        <w:adjustRightInd w:val="0"/>
        <w:spacing w:line="360" w:lineRule="exact"/>
        <w:jc w:val="center"/>
        <w:rPr>
          <w:rFonts w:hint="eastAsia" w:ascii="宋体" w:hAnsi="宋体"/>
          <w:spacing w:val="-4"/>
          <w:sz w:val="28"/>
          <w:szCs w:val="28"/>
        </w:rPr>
      </w:pPr>
    </w:p>
    <w:p>
      <w:pPr>
        <w:adjustRightInd w:val="0"/>
        <w:spacing w:line="360" w:lineRule="exact"/>
        <w:jc w:val="center"/>
        <w:rPr>
          <w:rFonts w:ascii="宋体" w:hAnsi="宋体"/>
          <w:spacing w:val="-4"/>
          <w:sz w:val="28"/>
          <w:szCs w:val="28"/>
        </w:rPr>
      </w:pPr>
      <w:r>
        <w:rPr>
          <w:rFonts w:hint="eastAsia" w:ascii="宋体" w:hAnsi="宋体"/>
          <w:spacing w:val="-4"/>
          <w:sz w:val="28"/>
          <w:szCs w:val="28"/>
        </w:rPr>
        <w:t>同意设置</w:t>
      </w:r>
      <w:r>
        <w:rPr>
          <w:rFonts w:hint="eastAsia" w:ascii="宋体" w:hAnsi="宋体"/>
          <w:spacing w:val="-6"/>
          <w:sz w:val="28"/>
          <w:szCs w:val="28"/>
          <w:lang w:val="en-US" w:eastAsia="zh-CN"/>
        </w:rPr>
        <w:t>宁陕县金川镇污水处理厂</w:t>
      </w:r>
      <w:r>
        <w:rPr>
          <w:rFonts w:ascii="宋体" w:hAnsi="宋体"/>
          <w:spacing w:val="-4"/>
          <w:sz w:val="28"/>
          <w:szCs w:val="28"/>
        </w:rPr>
        <w:t>入河排污口</w:t>
      </w:r>
      <w:r>
        <w:rPr>
          <w:rFonts w:hint="eastAsia" w:ascii="宋体" w:hAnsi="宋体"/>
          <w:spacing w:val="-4"/>
          <w:sz w:val="28"/>
          <w:szCs w:val="28"/>
        </w:rPr>
        <w:t>的</w:t>
      </w:r>
      <w:r>
        <w:rPr>
          <w:rFonts w:ascii="宋体" w:hAnsi="宋体"/>
          <w:spacing w:val="-4"/>
          <w:sz w:val="28"/>
          <w:szCs w:val="28"/>
        </w:rPr>
        <w:t>决定书</w:t>
      </w:r>
    </w:p>
    <w:p>
      <w:pPr>
        <w:adjustRightInd w:val="0"/>
        <w:spacing w:line="360" w:lineRule="exact"/>
        <w:ind w:right="808"/>
        <w:jc w:val="right"/>
        <w:rPr>
          <w:rFonts w:ascii="宋体" w:hAnsi="宋体"/>
          <w:spacing w:val="-4"/>
          <w:szCs w:val="21"/>
        </w:rPr>
      </w:pPr>
      <w:r>
        <w:rPr>
          <w:rFonts w:hint="eastAsia" w:ascii="宋体" w:hAnsi="宋体"/>
          <w:spacing w:val="-4"/>
          <w:szCs w:val="21"/>
          <w:lang w:val="en-US" w:eastAsia="zh-CN"/>
        </w:rPr>
        <w:t xml:space="preserve">  文书号：宁行审审批函[2025]25号   </w:t>
      </w:r>
    </w:p>
    <w:p>
      <w:pPr>
        <w:adjustRightInd w:val="0"/>
        <w:spacing w:line="360" w:lineRule="exact"/>
        <w:rPr>
          <w:rFonts w:ascii="宋体" w:hAnsi="宋体"/>
          <w:kern w:val="0"/>
          <w:szCs w:val="21"/>
          <w:lang w:val="zh-TW" w:eastAsia="zh-TW"/>
        </w:rPr>
      </w:pPr>
      <w:r>
        <w:rPr>
          <w:rFonts w:hint="eastAsia" w:ascii="宋体" w:hAnsi="宋体"/>
          <w:kern w:val="0"/>
          <w:szCs w:val="21"/>
          <w:lang w:val="en-US" w:eastAsia="zh-CN"/>
        </w:rPr>
        <w:t>宁陕县住房和城乡建设局</w:t>
      </w:r>
      <w:r>
        <w:rPr>
          <w:rFonts w:ascii="宋体" w:hAnsi="宋体"/>
          <w:kern w:val="0"/>
          <w:szCs w:val="21"/>
          <w:lang w:val="zh-TW" w:eastAsia="zh-TW"/>
        </w:rPr>
        <w:t>：</w:t>
      </w:r>
    </w:p>
    <w:p>
      <w:pPr>
        <w:pStyle w:val="10"/>
        <w:adjustRightInd w:val="0"/>
        <w:spacing w:before="0" w:line="360" w:lineRule="exact"/>
        <w:ind w:right="107" w:firstLine="600"/>
        <w:jc w:val="both"/>
        <w:rPr>
          <w:rFonts w:ascii="宋体" w:hAnsi="宋体" w:eastAsia="宋体" w:cs="Times New Roman"/>
          <w:spacing w:val="-6"/>
          <w:sz w:val="21"/>
          <w:szCs w:val="21"/>
          <w:lang w:eastAsia="zh-CN"/>
        </w:rPr>
      </w:pPr>
      <w:r>
        <w:rPr>
          <w:rFonts w:ascii="宋体" w:hAnsi="宋体" w:eastAsia="宋体"/>
          <w:spacing w:val="-6"/>
          <w:sz w:val="21"/>
          <w:szCs w:val="21"/>
          <w:lang w:eastAsia="zh-CN"/>
        </w:rPr>
        <w:t>你</w:t>
      </w:r>
      <w:r>
        <w:rPr>
          <w:rFonts w:hint="eastAsia" w:ascii="宋体" w:hAnsi="宋体" w:eastAsia="宋体"/>
          <w:spacing w:val="-6"/>
          <w:sz w:val="21"/>
          <w:szCs w:val="21"/>
          <w:lang w:eastAsia="zh-CN"/>
        </w:rPr>
        <w:t>局</w:t>
      </w:r>
      <w:r>
        <w:rPr>
          <w:rFonts w:ascii="宋体" w:hAnsi="宋体" w:eastAsia="宋体"/>
          <w:spacing w:val="-6"/>
          <w:sz w:val="21"/>
          <w:szCs w:val="21"/>
          <w:lang w:eastAsia="zh-CN"/>
        </w:rPr>
        <w:t>于</w:t>
      </w:r>
      <w:r>
        <w:rPr>
          <w:rFonts w:hint="eastAsia" w:ascii="宋体" w:hAnsi="宋体" w:eastAsia="宋体"/>
          <w:spacing w:val="-6"/>
          <w:sz w:val="21"/>
          <w:szCs w:val="21"/>
          <w:lang w:val="en-US" w:eastAsia="zh-CN"/>
        </w:rPr>
        <w:t>2025</w:t>
      </w:r>
      <w:r>
        <w:rPr>
          <w:rFonts w:ascii="宋体" w:hAnsi="宋体" w:eastAsia="宋体"/>
          <w:spacing w:val="-6"/>
          <w:sz w:val="21"/>
          <w:szCs w:val="21"/>
          <w:lang w:eastAsia="zh-CN"/>
        </w:rPr>
        <w:t>年</w:t>
      </w:r>
      <w:r>
        <w:rPr>
          <w:rFonts w:hint="eastAsia" w:ascii="宋体" w:hAnsi="宋体" w:eastAsia="宋体"/>
          <w:spacing w:val="-6"/>
          <w:sz w:val="21"/>
          <w:szCs w:val="21"/>
          <w:lang w:val="en-US" w:eastAsia="zh-CN"/>
        </w:rPr>
        <w:t>3</w:t>
      </w:r>
      <w:r>
        <w:rPr>
          <w:rFonts w:ascii="宋体" w:hAnsi="宋体" w:eastAsia="宋体"/>
          <w:spacing w:val="-6"/>
          <w:sz w:val="21"/>
          <w:szCs w:val="21"/>
          <w:lang w:eastAsia="zh-CN"/>
        </w:rPr>
        <w:t>月</w:t>
      </w:r>
      <w:r>
        <w:rPr>
          <w:rFonts w:hint="eastAsia" w:ascii="宋体" w:hAnsi="宋体" w:eastAsia="宋体"/>
          <w:spacing w:val="-6"/>
          <w:sz w:val="21"/>
          <w:szCs w:val="21"/>
          <w:lang w:val="en-US" w:eastAsia="zh-CN"/>
        </w:rPr>
        <w:t xml:space="preserve">  </w:t>
      </w:r>
      <w:r>
        <w:rPr>
          <w:rFonts w:ascii="宋体" w:hAnsi="宋体" w:eastAsia="宋体"/>
          <w:spacing w:val="-6"/>
          <w:sz w:val="21"/>
          <w:szCs w:val="21"/>
          <w:lang w:eastAsia="zh-CN"/>
        </w:rPr>
        <w:t>日向我</w:t>
      </w:r>
      <w:r>
        <w:rPr>
          <w:rFonts w:hint="eastAsia" w:ascii="宋体" w:hAnsi="宋体" w:eastAsia="宋体" w:cs="Times New Roman"/>
          <w:spacing w:val="-6"/>
          <w:sz w:val="21"/>
          <w:szCs w:val="21"/>
          <w:lang w:eastAsia="zh-CN"/>
        </w:rPr>
        <w:t>局</w:t>
      </w:r>
      <w:r>
        <w:rPr>
          <w:rFonts w:ascii="宋体" w:hAnsi="宋体" w:eastAsia="宋体" w:cs="Times New Roman"/>
          <w:spacing w:val="-6"/>
          <w:sz w:val="21"/>
          <w:szCs w:val="21"/>
          <w:lang w:eastAsia="zh-CN"/>
        </w:rPr>
        <w:t>提</w:t>
      </w:r>
      <w:r>
        <w:rPr>
          <w:rFonts w:hint="eastAsia" w:ascii="宋体" w:hAnsi="宋体" w:eastAsia="宋体" w:cs="Times New Roman"/>
          <w:spacing w:val="-6"/>
          <w:sz w:val="21"/>
          <w:szCs w:val="21"/>
          <w:lang w:val="en-US" w:eastAsia="zh-CN"/>
        </w:rPr>
        <w:t>出了宁陕县金川镇污水处理厂</w:t>
      </w:r>
      <w:r>
        <w:rPr>
          <w:rFonts w:ascii="宋体" w:hAnsi="宋体" w:eastAsia="宋体" w:cs="Times New Roman"/>
          <w:spacing w:val="-6"/>
          <w:sz w:val="21"/>
          <w:szCs w:val="21"/>
          <w:lang w:eastAsia="zh-CN"/>
        </w:rPr>
        <w:t>入河排污口设置申请。</w:t>
      </w:r>
      <w:r>
        <w:rPr>
          <w:rFonts w:hint="eastAsia" w:ascii="宋体" w:hAnsi="宋体" w:eastAsia="宋体" w:cs="Times New Roman"/>
          <w:spacing w:val="-6"/>
          <w:sz w:val="21"/>
          <w:szCs w:val="21"/>
          <w:lang w:eastAsia="zh-CN"/>
        </w:rPr>
        <w:t>经审查，</w:t>
      </w:r>
      <w:r>
        <w:rPr>
          <w:rFonts w:ascii="宋体" w:hAnsi="宋体" w:eastAsia="宋体" w:cs="Times New Roman"/>
          <w:spacing w:val="-6"/>
          <w:sz w:val="21"/>
          <w:szCs w:val="21"/>
          <w:lang w:eastAsia="zh-CN"/>
        </w:rPr>
        <w:t>根据《中华人民共和国行政许可法》</w:t>
      </w:r>
      <w:r>
        <w:rPr>
          <w:rFonts w:hint="eastAsia" w:ascii="宋体" w:hAnsi="宋体" w:eastAsia="宋体" w:cs="Times New Roman"/>
          <w:spacing w:val="-6"/>
          <w:sz w:val="21"/>
          <w:szCs w:val="21"/>
          <w:lang w:eastAsia="zh-CN"/>
        </w:rPr>
        <w:t>《入河排污口监督管理办法》（生态环境部令第3</w:t>
      </w:r>
      <w:r>
        <w:rPr>
          <w:rFonts w:ascii="宋体" w:hAnsi="宋体" w:eastAsia="宋体" w:cs="Times New Roman"/>
          <w:spacing w:val="-6"/>
          <w:sz w:val="21"/>
          <w:szCs w:val="21"/>
          <w:lang w:eastAsia="zh-CN"/>
        </w:rPr>
        <w:t>5</w:t>
      </w:r>
      <w:r>
        <w:rPr>
          <w:rFonts w:hint="eastAsia" w:ascii="宋体" w:hAnsi="宋体" w:eastAsia="宋体" w:cs="Times New Roman"/>
          <w:spacing w:val="-6"/>
          <w:sz w:val="21"/>
          <w:szCs w:val="21"/>
          <w:lang w:eastAsia="zh-CN"/>
        </w:rPr>
        <w:t>号）</w:t>
      </w:r>
      <w:r>
        <w:rPr>
          <w:rFonts w:ascii="宋体" w:hAnsi="宋体" w:eastAsia="宋体" w:cs="Times New Roman"/>
          <w:spacing w:val="-6"/>
          <w:sz w:val="21"/>
          <w:szCs w:val="21"/>
          <w:lang w:eastAsia="zh-CN"/>
        </w:rPr>
        <w:t>的规定，</w:t>
      </w:r>
      <w:r>
        <w:rPr>
          <w:rFonts w:hint="eastAsia" w:ascii="宋体" w:hAnsi="宋体" w:eastAsia="宋体" w:cs="Times New Roman"/>
          <w:spacing w:val="-6"/>
          <w:sz w:val="21"/>
          <w:szCs w:val="21"/>
          <w:lang w:eastAsia="zh-CN"/>
        </w:rPr>
        <w:t>同意</w:t>
      </w:r>
      <w:r>
        <w:rPr>
          <w:rFonts w:hint="eastAsia" w:ascii="宋体" w:hAnsi="宋体" w:eastAsia="宋体" w:cs="Times New Roman"/>
          <w:spacing w:val="-6"/>
          <w:sz w:val="21"/>
          <w:szCs w:val="21"/>
          <w:lang w:val="en-US" w:eastAsia="zh-CN"/>
        </w:rPr>
        <w:t>宁陕县金川镇污水处理厂</w:t>
      </w:r>
      <w:r>
        <w:rPr>
          <w:rFonts w:ascii="宋体" w:hAnsi="宋体" w:eastAsia="宋体" w:cs="Times New Roman"/>
          <w:spacing w:val="-6"/>
          <w:sz w:val="21"/>
          <w:szCs w:val="21"/>
          <w:lang w:eastAsia="zh-CN"/>
        </w:rPr>
        <w:t>入河排污口设置决定如下：</w:t>
      </w:r>
    </w:p>
    <w:tbl>
      <w:tblPr>
        <w:tblStyle w:val="35"/>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rFonts w:hint="eastAsia" w:ascii="Times New Roman" w:hAnsi="Times New Roman" w:cs="Times New Roman"/>
                <w:bCs/>
                <w:color w:val="000000"/>
                <w:sz w:val="21"/>
                <w:szCs w:val="21"/>
                <w:lang w:eastAsia="zh-CN"/>
              </w:rPr>
              <w:t>□</w:t>
            </w:r>
            <w:r>
              <w:rPr>
                <w:rFonts w:hint="eastAsia"/>
              </w:rPr>
              <w:t>工矿企业入河排污口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工业及其他各类园区污水处理厂入河排污口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城镇污水处理厂入河排污口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rFonts w:hint="default" w:eastAsia="宋体"/>
                <w:szCs w:val="20"/>
                <w:lang w:val="en-US" w:eastAsia="zh-CN"/>
              </w:rPr>
            </w:pPr>
            <w:r>
              <w:rPr>
                <w:rFonts w:hint="eastAsia"/>
                <w:szCs w:val="20"/>
                <w:lang w:val="en-US" w:eastAsia="zh-CN"/>
              </w:rPr>
              <w:t>安康市宁陕县金川镇</w:t>
            </w:r>
            <w:r>
              <w:rPr>
                <w:rFonts w:hint="eastAsia" w:ascii="宋体" w:hAnsi="宋体"/>
                <w:spacing w:val="-6"/>
                <w:szCs w:val="21"/>
                <w:lang w:val="en-US" w:eastAsia="zh-CN"/>
              </w:rPr>
              <w:t>污水处理厂</w:t>
            </w:r>
            <w:r>
              <w:rPr>
                <w:rFonts w:ascii="宋体" w:hAnsi="宋体"/>
                <w:spacing w:val="-4"/>
                <w:szCs w:val="21"/>
              </w:rPr>
              <w:t>入河排污口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szCs w:val="20"/>
              </w:rPr>
            </w:pPr>
            <w:r>
              <w:rPr>
                <w:rFonts w:hint="eastAsia"/>
                <w:szCs w:val="20"/>
              </w:rPr>
              <w:t>FG-610923-0004-SH-00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1"/>
              </w:rPr>
              <w:t>新设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改设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945" w:type="dxa"/>
            <w:gridSpan w:val="7"/>
            <w:vAlign w:val="center"/>
          </w:tcPr>
          <w:p>
            <w:pPr>
              <w:adjustRightInd w:val="0"/>
              <w:spacing w:line="360" w:lineRule="exact"/>
              <w:rPr>
                <w:kern w:val="0"/>
                <w:szCs w:val="21"/>
              </w:rPr>
            </w:pPr>
            <w:r>
              <w:rPr>
                <w:rFonts w:hint="eastAsia"/>
                <w:kern w:val="0"/>
                <w:szCs w:val="21"/>
              </w:rPr>
              <w:t>责任主体1名称：</w:t>
            </w:r>
            <w:r>
              <w:rPr>
                <w:rFonts w:hint="eastAsia" w:ascii="宋体" w:hAnsi="宋体"/>
                <w:kern w:val="0"/>
                <w:szCs w:val="21"/>
                <w:lang w:val="en-US" w:eastAsia="zh-CN"/>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rFonts w:hint="default"/>
                <w:kern w:val="0"/>
                <w:szCs w:val="21"/>
                <w:lang w:val="en-US"/>
              </w:rPr>
            </w:pP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rFonts w:hint="eastAsia"/>
                <w:szCs w:val="21"/>
                <w:u w:val="single"/>
                <w:lang w:val="en-US" w:eastAsia="zh-CN"/>
              </w:rPr>
              <w:t xml:space="preserve">宁陕 </w:t>
            </w:r>
            <w:r>
              <w:rPr>
                <w:rFonts w:hint="eastAsia"/>
                <w:szCs w:val="21"/>
              </w:rPr>
              <w:t>县（区、旗）</w:t>
            </w:r>
            <w:r>
              <w:rPr>
                <w:szCs w:val="21"/>
                <w:u w:val="single"/>
              </w:rPr>
              <w:t xml:space="preserve">   </w:t>
            </w:r>
            <w:r>
              <w:rPr>
                <w:rFonts w:hint="default" w:ascii="宋体" w:hAnsi="宋体" w:eastAsia="宋体" w:cs="Times New Roman"/>
                <w:spacing w:val="-6"/>
                <w:szCs w:val="21"/>
                <w:u w:val="single"/>
                <w:lang w:val="en-US" w:eastAsia="zh-CN"/>
              </w:rPr>
              <w:t>城关镇</w:t>
            </w:r>
            <w:r>
              <w:rPr>
                <w:rFonts w:hint="eastAsia" w:ascii="宋体" w:hAnsi="宋体" w:eastAsia="宋体" w:cs="Times New Roman"/>
                <w:spacing w:val="-6"/>
                <w:szCs w:val="21"/>
                <w:u w:val="single"/>
                <w:lang w:val="en-US" w:eastAsia="zh-CN"/>
              </w:rPr>
              <w:t xml:space="preserve">    </w:t>
            </w:r>
            <w:r>
              <w:rPr>
                <w:rFonts w:hint="eastAsia" w:ascii="宋体" w:hAnsi="宋体" w:eastAsia="宋体" w:cs="Times New Roman"/>
                <w:spacing w:val="-6"/>
                <w:szCs w:val="21"/>
                <w:lang w:val="en-US" w:eastAsia="zh-CN"/>
              </w:rPr>
              <w:t>乡（镇、街道）</w:t>
            </w:r>
            <w:r>
              <w:rPr>
                <w:rFonts w:hint="eastAsia" w:ascii="宋体" w:hAnsi="宋体" w:eastAsia="宋体" w:cs="Times New Roman"/>
                <w:spacing w:val="-6"/>
                <w:szCs w:val="21"/>
                <w:u w:val="single"/>
                <w:lang w:val="en-US" w:eastAsia="zh-CN"/>
              </w:rPr>
              <w:t xml:space="preserve">   /   </w:t>
            </w:r>
            <w:r>
              <w:rPr>
                <w:rFonts w:hint="eastAsia" w:ascii="宋体" w:hAnsi="宋体" w:eastAsia="宋体" w:cs="Times New Roman"/>
                <w:spacing w:val="-6"/>
                <w:szCs w:val="21"/>
                <w:lang w:val="en-US" w:eastAsia="zh-CN"/>
              </w:rPr>
              <w:t xml:space="preserve">村（社区） </w:t>
            </w:r>
            <w:r>
              <w:rPr>
                <w:rFonts w:hint="default" w:ascii="宋体" w:hAnsi="宋体" w:eastAsia="宋体" w:cs="Times New Roman"/>
                <w:spacing w:val="-6"/>
                <w:szCs w:val="21"/>
                <w:u w:val="single"/>
                <w:lang w:val="en-US" w:eastAsia="zh-CN"/>
              </w:rPr>
              <w:t>子午路9号豪迈客运中心4楼</w:t>
            </w:r>
            <w:r>
              <w:rPr>
                <w:rFonts w:hint="eastAsia" w:ascii="宋体" w:hAnsi="宋体" w:eastAsia="宋体" w:cs="Times New Roman"/>
                <w:spacing w:val="-6"/>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rPr>
                <w:rFonts w:hint="eastAsia"/>
              </w:rPr>
              <w:t>姓名：</w:t>
            </w:r>
            <w:r>
              <w:t xml:space="preserve"> </w:t>
            </w:r>
            <w:r>
              <w:rPr>
                <w:rFonts w:hint="eastAsia"/>
                <w:lang w:val="en-US" w:eastAsia="zh-CN"/>
              </w:rPr>
              <w:t>张富林</w:t>
            </w:r>
            <w:r>
              <w:rPr>
                <w:lang w:val="en"/>
              </w:rPr>
              <w:t xml:space="preserve"> </w:t>
            </w:r>
            <w:r>
              <w:t xml:space="preserve">  </w:t>
            </w:r>
            <w:r>
              <w:rPr>
                <w:lang w:val="en"/>
              </w:rPr>
              <w:t xml:space="preserve">  </w:t>
            </w:r>
            <w:r>
              <w:t xml:space="preserve">    </w:t>
            </w:r>
            <w:r>
              <w:rPr>
                <w:rFonts w:hint="eastAsia"/>
                <w:szCs w:val="21"/>
              </w:rPr>
              <w:t>联系电话：</w:t>
            </w:r>
            <w:r>
              <w:rPr>
                <w:szCs w:val="21"/>
              </w:rPr>
              <w:t xml:space="preserve">0915-6822954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D</w:t>
            </w:r>
            <w:r>
              <w:rPr>
                <w:rFonts w:hint="default" w:ascii="Times New Roman" w:hAnsi="Times New Roman" w:eastAsia="宋体" w:cs="Times New Roman"/>
                <w:color w:val="000000"/>
                <w:kern w:val="0"/>
                <w:szCs w:val="21"/>
                <w:highlight w:val="none"/>
                <w:lang w:val="en-US" w:eastAsia="zh-CN"/>
              </w:rPr>
              <w:t>4620污水处理及其再生利用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rPr>
                <w:rFonts w:hint="eastAsia" w:eastAsia="宋体"/>
                <w:lang w:val="en-US" w:eastAsia="zh-CN"/>
              </w:rPr>
            </w:pPr>
            <w:r>
              <w:rPr>
                <w:rFonts w:hint="eastAsia"/>
                <w:szCs w:val="21"/>
              </w:rPr>
              <w:t>尚未申请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szCs w:val="21"/>
                <w:u w:val="single"/>
              </w:rPr>
              <w:t xml:space="preserve">  </w:t>
            </w:r>
            <w:r>
              <w:rPr>
                <w:rFonts w:hint="eastAsia"/>
                <w:szCs w:val="21"/>
                <w:u w:val="single"/>
                <w:lang w:val="en-US" w:eastAsia="zh-CN"/>
              </w:rPr>
              <w:t>宁陕</w:t>
            </w:r>
            <w:r>
              <w:rPr>
                <w:szCs w:val="21"/>
                <w:u w:val="single"/>
              </w:rPr>
              <w:t xml:space="preserve">      </w:t>
            </w:r>
            <w:r>
              <w:rPr>
                <w:rFonts w:hint="eastAsia"/>
                <w:szCs w:val="21"/>
              </w:rPr>
              <w:t>县（区、旗）</w:t>
            </w:r>
            <w:r>
              <w:rPr>
                <w:szCs w:val="21"/>
                <w:u w:val="single"/>
              </w:rPr>
              <w:t xml:space="preserve">    </w:t>
            </w:r>
            <w:r>
              <w:rPr>
                <w:rFonts w:hint="eastAsia"/>
                <w:szCs w:val="21"/>
                <w:u w:val="single"/>
                <w:lang w:val="en-US" w:eastAsia="zh-CN"/>
              </w:rPr>
              <w:t>金川</w:t>
            </w:r>
            <w:r>
              <w:rPr>
                <w:rFonts w:hint="eastAsia"/>
                <w:szCs w:val="21"/>
              </w:rPr>
              <w:t>镇</w:t>
            </w:r>
            <w:r>
              <w:rPr>
                <w:szCs w:val="21"/>
                <w:u w:val="single"/>
              </w:rPr>
              <w:t xml:space="preserve">     </w:t>
            </w:r>
            <w:r>
              <w:rPr>
                <w:rFonts w:hint="eastAsia"/>
                <w:szCs w:val="21"/>
              </w:rPr>
              <w:t>乡（镇、街道）</w:t>
            </w:r>
            <w:r>
              <w:rPr>
                <w:szCs w:val="21"/>
                <w:u w:val="single"/>
              </w:rPr>
              <w:t xml:space="preserve">   </w:t>
            </w:r>
            <w:r>
              <w:rPr>
                <w:rFonts w:hint="eastAsia" w:ascii="Times New Roman" w:hAnsi="Times New Roman" w:eastAsia="宋体" w:cs="Times New Roman"/>
                <w:color w:val="000000"/>
                <w:szCs w:val="21"/>
                <w:highlight w:val="none"/>
                <w:u w:val="single"/>
                <w:lang w:val="en-US" w:eastAsia="zh-CN"/>
              </w:rPr>
              <w:t>小川村</w:t>
            </w:r>
            <w:r>
              <w:rPr>
                <w:szCs w:val="21"/>
                <w:u w:val="single"/>
              </w:rPr>
              <w:t xml:space="preserve">    </w:t>
            </w:r>
            <w:r>
              <w:rPr>
                <w:rFonts w:hint="eastAsia"/>
                <w:szCs w:val="21"/>
              </w:rPr>
              <w:t>村（社区）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default" w:eastAsia="宋体"/>
                <w:szCs w:val="21"/>
                <w:lang w:val="en-US" w:eastAsia="zh-CN"/>
              </w:rPr>
            </w:pPr>
            <w:r>
              <w:rPr>
                <w:rFonts w:hint="eastAsia"/>
                <w:szCs w:val="21"/>
              </w:rPr>
              <w:t>排入水体名称：</w:t>
            </w:r>
            <w:r>
              <w:rPr>
                <w:rFonts w:hint="eastAsia"/>
                <w:szCs w:val="21"/>
                <w:lang w:val="en-US" w:eastAsia="zh-CN"/>
              </w:rPr>
              <w:t>小川沟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eastAsia" w:eastAsia="宋体"/>
                <w:szCs w:val="21"/>
                <w:lang w:val="en-US" w:eastAsia="zh-CN"/>
              </w:rPr>
            </w:pPr>
            <w:r>
              <w:rPr>
                <w:rFonts w:hint="eastAsia"/>
                <w:szCs w:val="21"/>
              </w:rPr>
              <w:t>所在流域：</w:t>
            </w:r>
            <w:r>
              <w:rPr>
                <w:rFonts w:hint="eastAsia"/>
                <w:szCs w:val="21"/>
                <w:lang w:val="en-US" w:eastAsia="zh-CN"/>
              </w:rPr>
              <w:t>长江流域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keepLines w:val="0"/>
              <w:pageBreakBefore w:val="0"/>
              <w:widowControl w:val="0"/>
              <w:wordWrap/>
              <w:topLinePunct w:val="0"/>
              <w:autoSpaceDE/>
              <w:autoSpaceDN/>
              <w:bidi w:val="0"/>
              <w:jc w:val="left"/>
              <w:rPr>
                <w:rFonts w:hint="eastAsia"/>
                <w:szCs w:val="20"/>
              </w:rPr>
            </w:pPr>
            <w:r>
              <w:rPr>
                <w:rFonts w:hint="eastAsia"/>
                <w:szCs w:val="20"/>
              </w:rPr>
              <w:t>经度（</w:t>
            </w:r>
            <w:r>
              <w:rPr>
                <w:rFonts w:hint="default" w:ascii="Times New Roman" w:hAnsi="Times New Roman" w:eastAsia="宋体" w:cs="Times New Roman"/>
                <w:color w:val="000000"/>
                <w:szCs w:val="21"/>
                <w:highlight w:val="none"/>
                <w:lang w:val="en-US" w:eastAsia="zh-CN"/>
              </w:rPr>
              <w:t>108.769617°</w:t>
            </w:r>
            <w:r>
              <w:rPr>
                <w:rFonts w:hint="eastAsia"/>
                <w:szCs w:val="20"/>
              </w:rPr>
              <w:t>）：</w:t>
            </w:r>
          </w:p>
          <w:p>
            <w:pPr>
              <w:keepLines w:val="0"/>
              <w:pageBreakBefore w:val="0"/>
              <w:widowControl w:val="0"/>
              <w:wordWrap/>
              <w:topLinePunct w:val="0"/>
              <w:autoSpaceDE/>
              <w:autoSpaceDN/>
              <w:bidi w:val="0"/>
              <w:jc w:val="left"/>
              <w:rPr>
                <w:szCs w:val="21"/>
              </w:rPr>
            </w:pPr>
            <w:r>
              <w:rPr>
                <w:rFonts w:hint="eastAsia"/>
                <w:szCs w:val="20"/>
              </w:rPr>
              <w:t>纬度（</w:t>
            </w:r>
            <w:r>
              <w:rPr>
                <w:rFonts w:hint="eastAsia" w:ascii="Times New Roman" w:hAnsi="Times New Roman" w:eastAsia="宋体" w:cs="Times New Roman"/>
                <w:color w:val="000000"/>
                <w:szCs w:val="21"/>
                <w:highlight w:val="none"/>
                <w:lang w:val="en-US" w:eastAsia="zh-CN"/>
              </w:rPr>
              <w:t>33.585109</w:t>
            </w:r>
            <w:r>
              <w:rPr>
                <w:rFonts w:hint="default" w:ascii="Times New Roman" w:hAnsi="Times New Roman" w:eastAsia="宋体" w:cs="Times New Roman"/>
                <w:color w:val="000000"/>
                <w:szCs w:val="21"/>
                <w:highlight w:val="none"/>
                <w:lang w:val="en-US" w:eastAsia="zh-CN"/>
              </w:rPr>
              <w:t>°</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连续</w:t>
            </w:r>
            <w:r>
              <w:rPr>
                <w:szCs w:val="20"/>
              </w:rPr>
              <w:t xml:space="preserve"> </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间歇</w:t>
            </w:r>
          </w:p>
        </w:tc>
        <w:tc>
          <w:tcPr>
            <w:tcW w:w="851" w:type="dxa"/>
            <w:vMerge w:val="restart"/>
            <w:vAlign w:val="center"/>
          </w:tcPr>
          <w:p>
            <w:pPr>
              <w:widowControl/>
              <w:spacing w:line="360" w:lineRule="exact"/>
              <w:ind w:right="-105" w:rightChars="-50"/>
              <w:rPr>
                <w:szCs w:val="20"/>
              </w:rPr>
            </w:pPr>
            <w:r>
              <w:rPr>
                <w:rFonts w:hint="eastAsia"/>
                <w:szCs w:val="20"/>
              </w:rPr>
              <w:t>入河</w:t>
            </w:r>
          </w:p>
          <w:p>
            <w:pPr>
              <w:widowControl/>
              <w:spacing w:line="360" w:lineRule="exact"/>
              <w:ind w:right="-105" w:rightChars="-50"/>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明渠</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管道</w:t>
            </w:r>
          </w:p>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泵站</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涵闸</w:t>
            </w:r>
          </w:p>
          <w:p>
            <w:pPr>
              <w:widowControl/>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箱涵</w:t>
            </w:r>
            <w:r>
              <w:rPr>
                <w:szCs w:val="20"/>
              </w:rPr>
              <w:t xml:space="preserve"> </w:t>
            </w:r>
            <w:r>
              <w:rPr>
                <w:rFonts w:hint="eastAsia"/>
                <w:szCs w:val="20"/>
                <w:lang w:val="en-US" w:eastAsia="zh-CN"/>
              </w:rPr>
              <w:t xml:space="preserve"> </w:t>
            </w:r>
            <w:r>
              <w:rPr>
                <w:rFonts w:hint="eastAsia" w:ascii="Times New Roman" w:hAnsi="Times New Roman" w:cs="Times New Roman"/>
                <w:bCs/>
                <w:color w:val="000000"/>
                <w:sz w:val="21"/>
                <w:szCs w:val="21"/>
                <w:lang w:eastAsia="zh-CN"/>
              </w:rPr>
              <w:t>□</w:t>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是</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圆形截面：</w:t>
            </w:r>
            <w:r>
              <w:rPr>
                <w:szCs w:val="20"/>
              </w:rPr>
              <w:t xml:space="preserve">d= </w:t>
            </w:r>
            <w:r>
              <w:rPr>
                <w:rFonts w:hint="eastAsia"/>
                <w:szCs w:val="20"/>
                <w:lang w:val="en-US" w:eastAsia="zh-CN"/>
              </w:rPr>
              <w:t>0.2</w:t>
            </w:r>
            <w:r>
              <w:rPr>
                <w:szCs w:val="20"/>
              </w:rPr>
              <w:t xml:space="preserve"> m</w:t>
            </w:r>
            <w:r>
              <w:rPr>
                <w:rFonts w:hint="eastAsia"/>
                <w:szCs w:val="20"/>
              </w:rPr>
              <w:t>，</w:t>
            </w:r>
            <w:r>
              <w:rPr>
                <w:szCs w:val="20"/>
              </w:rPr>
              <w:t>S=</w:t>
            </w:r>
            <w:r>
              <w:rPr>
                <w:rFonts w:hint="default" w:ascii="Times New Roman" w:hAnsi="Times New Roman" w:cs="Times New Roman"/>
                <w:color w:val="000000"/>
                <w:szCs w:val="20"/>
                <w:highlight w:val="none"/>
              </w:rPr>
              <w:t xml:space="preserve"> </w:t>
            </w:r>
            <w:r>
              <w:rPr>
                <w:rFonts w:hint="default" w:ascii="Times New Roman" w:hAnsi="Times New Roman" w:cs="Times New Roman"/>
                <w:color w:val="000000"/>
                <w:szCs w:val="20"/>
                <w:highlight w:val="none"/>
                <w:lang w:val="en-US" w:eastAsia="zh-CN"/>
              </w:rPr>
              <w:t>0.</w:t>
            </w:r>
            <w:r>
              <w:rPr>
                <w:rFonts w:hint="eastAsia" w:cs="Times New Roman"/>
                <w:color w:val="000000"/>
                <w:szCs w:val="20"/>
                <w:highlight w:val="none"/>
                <w:lang w:val="en-US" w:eastAsia="zh-CN"/>
              </w:rPr>
              <w:t>0314</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w:t>
            </w:r>
            <w:r>
              <w:rPr>
                <w:szCs w:val="20"/>
              </w:rPr>
              <w:t>__</w:t>
            </w:r>
            <w:r>
              <w:rPr>
                <w:rFonts w:hint="eastAsia"/>
                <w:szCs w:val="20"/>
              </w:rPr>
              <w:t>月至</w:t>
            </w:r>
            <w:r>
              <w:rPr>
                <w:szCs w:val="20"/>
              </w:rPr>
              <w:t>__</w:t>
            </w:r>
            <w:r>
              <w:rPr>
                <w:rFonts w:hint="eastAsia"/>
                <w:szCs w:val="20"/>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r>
              <w:rPr>
                <w:rFonts w:hint="eastAsia"/>
                <w:kern w:val="0"/>
                <w:szCs w:val="21"/>
              </w:rPr>
              <w:t>（单一责任主体只需记载此项）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COD</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50</w:t>
            </w:r>
          </w:p>
        </w:tc>
        <w:tc>
          <w:tcPr>
            <w:tcW w:w="1277" w:type="dxa"/>
            <w:gridSpan w:val="2"/>
            <w:vMerge w:val="restart"/>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43800</w:t>
            </w:r>
          </w:p>
        </w:tc>
        <w:tc>
          <w:tcPr>
            <w:tcW w:w="1134"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eastAsia="宋体" w:cs="Times New Roman"/>
                <w:i w:val="0"/>
                <w:iCs w:val="0"/>
                <w:color w:val="000000"/>
                <w:kern w:val="0"/>
                <w:sz w:val="22"/>
                <w:szCs w:val="22"/>
                <w:u w:val="none"/>
                <w:lang w:val="en-US" w:eastAsia="zh-CN" w:bidi="ar"/>
              </w:rPr>
              <w:t>2.19</w:t>
            </w:r>
          </w:p>
        </w:tc>
        <w:tc>
          <w:tcPr>
            <w:tcW w:w="1418" w:type="dxa"/>
            <w:vMerge w:val="restart"/>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NH</w:t>
            </w:r>
            <w:r>
              <w:rPr>
                <w:szCs w:val="20"/>
                <w:vertAlign w:val="subscript"/>
              </w:rPr>
              <w:t>3</w:t>
            </w:r>
            <w:r>
              <w:rPr>
                <w:szCs w:val="20"/>
              </w:rPr>
              <w:t>-N</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5</w:t>
            </w:r>
          </w:p>
        </w:tc>
        <w:tc>
          <w:tcPr>
            <w:tcW w:w="1277" w:type="dxa"/>
            <w:gridSpan w:val="2"/>
            <w:vMerge w:val="continue"/>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p>
        </w:tc>
        <w:tc>
          <w:tcPr>
            <w:tcW w:w="1134"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0.219</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N</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15</w:t>
            </w:r>
          </w:p>
        </w:tc>
        <w:tc>
          <w:tcPr>
            <w:tcW w:w="1277" w:type="dxa"/>
            <w:gridSpan w:val="2"/>
            <w:vMerge w:val="continue"/>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0.657</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P</w:t>
            </w:r>
          </w:p>
        </w:tc>
        <w:tc>
          <w:tcPr>
            <w:tcW w:w="1133" w:type="dxa"/>
            <w:vAlign w:val="center"/>
          </w:tcPr>
          <w:p>
            <w:pPr>
              <w:keepLines w:val="0"/>
              <w:pageBreakBefore w:val="0"/>
              <w:widowControl w:val="0"/>
              <w:wordWrap/>
              <w:topLinePunct w:val="0"/>
              <w:autoSpaceDE/>
              <w:autoSpaceDN/>
              <w:bidi w:val="0"/>
              <w:jc w:val="center"/>
              <w:rPr>
                <w:szCs w:val="20"/>
              </w:rPr>
            </w:pPr>
            <w:r>
              <w:rPr>
                <w:rFonts w:hint="default" w:ascii="Times New Roman" w:hAnsi="Times New Roman" w:cs="Times New Roman"/>
                <w:color w:val="000000"/>
                <w:szCs w:val="20"/>
                <w:highlight w:val="none"/>
                <w:lang w:val="en-US" w:eastAsia="zh-CN"/>
              </w:rPr>
              <w:t>0.5</w:t>
            </w:r>
          </w:p>
        </w:tc>
        <w:tc>
          <w:tcPr>
            <w:tcW w:w="1277" w:type="dxa"/>
            <w:gridSpan w:val="2"/>
            <w:vMerge w:val="continue"/>
            <w:vAlign w:val="center"/>
          </w:tcPr>
          <w:p>
            <w:pPr>
              <w:widowControl/>
              <w:spacing w:line="360" w:lineRule="exact"/>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0.0219</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（其他重点污染物）</w:t>
            </w:r>
          </w:p>
        </w:tc>
        <w:tc>
          <w:tcPr>
            <w:tcW w:w="1133" w:type="dxa"/>
            <w:vAlign w:val="center"/>
          </w:tcPr>
          <w:p>
            <w:pPr>
              <w:widowControl/>
              <w:spacing w:line="360" w:lineRule="exact"/>
              <w:jc w:val="center"/>
              <w:rPr>
                <w:rFonts w:hint="eastAsia" w:eastAsia="宋体"/>
                <w:szCs w:val="20"/>
                <w:lang w:val="en-US" w:eastAsia="zh-CN"/>
              </w:rPr>
            </w:pPr>
            <w:r>
              <w:rPr>
                <w:rFonts w:hint="eastAsia"/>
                <w:szCs w:val="20"/>
                <w:lang w:val="en-US" w:eastAsia="zh-CN"/>
              </w:rPr>
              <w:t>/</w:t>
            </w:r>
          </w:p>
        </w:tc>
        <w:tc>
          <w:tcPr>
            <w:tcW w:w="1277" w:type="dxa"/>
            <w:gridSpan w:val="2"/>
            <w:vMerge w:val="continue"/>
            <w:vAlign w:val="center"/>
          </w:tcPr>
          <w:p>
            <w:pPr>
              <w:widowControl/>
              <w:spacing w:line="360" w:lineRule="exact"/>
              <w:jc w:val="center"/>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标准要求，该入河排污口的名称、编码、类型、责任主体、管理单位和监督电话等信息应以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lang w:val="en-US"/>
              </w:rPr>
            </w:pPr>
            <w:r>
              <w:rPr>
                <w:rFonts w:hint="eastAsia"/>
              </w:rPr>
              <w:t>为减免该入河排污口设置带来的不利影响，入河排污口设置/使用过程中应当采取监测、巡查、预警等水生态环境保护措施，具体包括：加强项目运行管理，开展自行监测，建立信息报送制度等。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8945" w:type="dxa"/>
            <w:gridSpan w:val="7"/>
          </w:tcPr>
          <w:p>
            <w:pPr>
              <w:pStyle w:val="10"/>
              <w:widowControl/>
              <w:snapToGrid w:val="0"/>
              <w:spacing w:line="360" w:lineRule="exact"/>
              <w:ind w:left="0"/>
              <w:jc w:val="both"/>
              <w:rPr>
                <w:lang w:eastAsia="zh-CN"/>
              </w:rPr>
            </w:pPr>
            <w:r>
              <w:rPr>
                <w:rFonts w:hint="eastAsia" w:ascii="Times New Roman" w:hAnsi="Times New Roman" w:eastAsia="宋体"/>
                <w:kern w:val="2"/>
                <w:sz w:val="21"/>
                <w:szCs w:val="22"/>
                <w:lang w:eastAsia="zh-CN"/>
              </w:rPr>
              <w:t>水生态环境保护措施：</w:t>
            </w:r>
          </w:p>
          <w:p>
            <w:pPr>
              <w:pStyle w:val="10"/>
              <w:widowControl/>
              <w:snapToGrid w:val="0"/>
              <w:spacing w:line="360" w:lineRule="exact"/>
              <w:ind w:left="0" w:firstLine="420" w:firstLineChars="200"/>
              <w:jc w:val="both"/>
              <w:rPr>
                <w:lang w:eastAsia="zh-CN"/>
              </w:rPr>
            </w:pPr>
            <w:r>
              <w:rPr>
                <w:rFonts w:hint="eastAsia" w:ascii="宋体" w:hAnsi="宋体" w:eastAsia="宋体" w:cs="宋体"/>
                <w:sz w:val="21"/>
                <w:szCs w:val="21"/>
              </w:rPr>
              <w:t>该入河排污口对应的责任主体</w:t>
            </w:r>
            <w:r>
              <w:rPr>
                <w:rFonts w:hint="eastAsia" w:ascii="宋体" w:hAnsi="宋体" w:eastAsia="宋体" w:cs="宋体"/>
                <w:kern w:val="0"/>
                <w:sz w:val="21"/>
                <w:szCs w:val="21"/>
              </w:rPr>
              <w:t>宁陕县住房和城乡建设局</w:t>
            </w:r>
            <w:r>
              <w:rPr>
                <w:rFonts w:hint="eastAsia" w:ascii="宋体" w:hAnsi="宋体" w:eastAsia="宋体" w:cs="宋体"/>
                <w:sz w:val="21"/>
                <w:szCs w:val="21"/>
              </w:rPr>
              <w:t>应当按照排污单位有关要求，做好污染事故应急处理预案、环境风险防范及应急处置措施，具体包括：加强对污水处理设施和污水管网的日常维护，配备备用电源，投加絮凝剂，开展应急监测等。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8945" w:type="dxa"/>
            <w:gridSpan w:val="7"/>
          </w:tcPr>
          <w:p>
            <w:pPr>
              <w:pStyle w:val="10"/>
              <w:snapToGrid w:val="0"/>
              <w:spacing w:before="0" w:line="360" w:lineRule="exact"/>
              <w:ind w:left="0"/>
              <w:jc w:val="both"/>
              <w:rPr>
                <w:szCs w:val="20"/>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adjustRightInd w:val="0"/>
        <w:spacing w:line="360" w:lineRule="exact"/>
        <w:jc w:val="both"/>
        <w:rPr>
          <w:rFonts w:hint="eastAsia" w:ascii="宋体" w:hAnsi="宋体"/>
          <w:spacing w:val="-5"/>
          <w:szCs w:val="21"/>
          <w:lang w:val="en-US" w:eastAsia="zh-CN"/>
        </w:rPr>
      </w:pPr>
    </w:p>
    <w:p>
      <w:pPr>
        <w:adjustRightInd w:val="0"/>
        <w:spacing w:line="360" w:lineRule="exact"/>
        <w:jc w:val="right"/>
        <w:rPr>
          <w:rFonts w:hint="default" w:ascii="宋体" w:hAnsi="宋体" w:eastAsia="宋体"/>
          <w:spacing w:val="-5"/>
          <w:szCs w:val="21"/>
          <w:lang w:val="en-US" w:eastAsia="zh-CN"/>
        </w:rPr>
      </w:pPr>
      <w:r>
        <w:rPr>
          <w:rFonts w:hint="eastAsia" w:ascii="宋体" w:hAnsi="宋体"/>
          <w:spacing w:val="-5"/>
          <w:szCs w:val="21"/>
          <w:lang w:val="en-US" w:eastAsia="zh-CN"/>
        </w:rPr>
        <w:t>宁陕县行政审批服务局</w:t>
      </w:r>
    </w:p>
    <w:p>
      <w:pPr>
        <w:pStyle w:val="10"/>
        <w:spacing w:before="0" w:line="360" w:lineRule="exact"/>
        <w:jc w:val="right"/>
        <w:rPr>
          <w:lang w:eastAsia="zh-CN"/>
        </w:rPr>
      </w:pPr>
      <w:r>
        <w:rPr>
          <w:rFonts w:hint="eastAsia" w:ascii="宋体" w:hAnsi="宋体" w:eastAsia="宋体"/>
          <w:sz w:val="21"/>
          <w:szCs w:val="21"/>
          <w:lang w:val="en-US" w:eastAsia="zh-CN"/>
        </w:rPr>
        <w:t>2025</w:t>
      </w:r>
      <w:r>
        <w:rPr>
          <w:rFonts w:ascii="宋体" w:hAnsi="宋体" w:eastAsia="宋体"/>
          <w:sz w:val="21"/>
          <w:szCs w:val="21"/>
          <w:lang w:eastAsia="zh-CN"/>
        </w:rPr>
        <w:t>年</w:t>
      </w:r>
      <w:r>
        <w:rPr>
          <w:rFonts w:hint="eastAsia" w:ascii="宋体" w:hAnsi="宋体" w:eastAsia="宋体"/>
          <w:sz w:val="21"/>
          <w:szCs w:val="21"/>
          <w:lang w:val="en-US" w:eastAsia="zh-CN"/>
        </w:rPr>
        <w:t>3</w:t>
      </w:r>
      <w:r>
        <w:rPr>
          <w:rFonts w:ascii="宋体" w:hAnsi="宋体" w:eastAsia="宋体"/>
          <w:sz w:val="21"/>
          <w:szCs w:val="21"/>
          <w:lang w:eastAsia="zh-CN"/>
        </w:rPr>
        <w:t>月</w:t>
      </w:r>
      <w:r>
        <w:rPr>
          <w:rFonts w:hint="eastAsia" w:ascii="宋体" w:hAnsi="宋体" w:eastAsia="宋体"/>
          <w:sz w:val="21"/>
          <w:szCs w:val="21"/>
          <w:lang w:val="en-US" w:eastAsia="zh-CN"/>
        </w:rPr>
        <w:t>28</w:t>
      </w:r>
      <w:r>
        <w:rPr>
          <w:rFonts w:ascii="宋体" w:hAnsi="宋体" w:eastAsia="宋体"/>
          <w:sz w:val="21"/>
          <w:szCs w:val="21"/>
          <w:lang w:eastAsia="zh-CN"/>
        </w:rPr>
        <w:t>日</w:t>
      </w:r>
    </w:p>
    <w:p>
      <w:pPr>
        <w:topLinePunct/>
        <w:adjustRightInd w:val="0"/>
        <w:spacing w:line="360" w:lineRule="exact"/>
        <w:jc w:val="both"/>
        <w:outlineLvl w:val="0"/>
        <w:rPr>
          <w:rFonts w:ascii="黑体" w:hAnsi="黑体" w:eastAsia="黑体"/>
          <w:color w:val="000000" w:themeColor="text1"/>
          <w:kern w:val="44"/>
          <w:szCs w:val="20"/>
          <w14:textFill>
            <w14:solidFill>
              <w14:schemeClr w14:val="tx1"/>
            </w14:solidFill>
          </w14:textFill>
        </w:rPr>
      </w:pPr>
      <w:bookmarkStart w:id="1" w:name="_GoBack"/>
      <w:r>
        <w:drawing>
          <wp:anchor distT="0" distB="0" distL="114300" distR="114300" simplePos="0" relativeHeight="251662336" behindDoc="1" locked="0" layoutInCell="1" allowOverlap="1">
            <wp:simplePos x="0" y="0"/>
            <wp:positionH relativeFrom="column">
              <wp:posOffset>3918585</wp:posOffset>
            </wp:positionH>
            <wp:positionV relativeFrom="paragraph">
              <wp:posOffset>-863600</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pPr>
      <w:r>
        <w:rPr>
          <w:rFonts w:hint="eastAsia" w:ascii="宋体" w:hAnsi="宋体" w:eastAsia="宋体" w:cs="宋体"/>
          <w:color w:val="000000" w:themeColor="text1"/>
          <w:kern w:val="44"/>
          <w:szCs w:val="20"/>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14:textFill>
            <w14:solidFill>
              <w14:schemeClr w14:val="tx1"/>
            </w14:solidFill>
          </w14:textFill>
        </w:rPr>
        <w:t>水利局、安康市生态环境局宁陕分局、</w:t>
      </w:r>
      <w:r>
        <w:rPr>
          <w:rFonts w:hint="eastAsia" w:ascii="宋体" w:hAnsi="宋体" w:eastAsia="宋体" w:cs="宋体"/>
          <w:color w:val="000000" w:themeColor="text1"/>
          <w:kern w:val="44"/>
          <w:szCs w:val="20"/>
          <w:lang w:eastAsia="zh-CN"/>
          <w14:textFill>
            <w14:solidFill>
              <w14:schemeClr w14:val="tx1"/>
            </w14:solidFill>
          </w14:textFill>
        </w:rPr>
        <w:t>金川</w:t>
      </w:r>
      <w:r>
        <w:rPr>
          <w:rFonts w:hint="eastAsia" w:ascii="宋体" w:hAnsi="宋体" w:eastAsia="宋体" w:cs="宋体"/>
          <w:color w:val="000000" w:themeColor="text1"/>
          <w:kern w:val="44"/>
          <w:szCs w:val="20"/>
          <w14:textFill>
            <w14:solidFill>
              <w14:schemeClr w14:val="tx1"/>
            </w14:solidFill>
          </w14:textFill>
        </w:rPr>
        <w:t>镇人民政府。</w:t>
      </w:r>
    </w:p>
    <w:p>
      <w:pPr>
        <w:topLinePunct/>
        <w:adjustRightInd w:val="0"/>
        <w:spacing w:line="360" w:lineRule="exact"/>
        <w:jc w:val="both"/>
        <w:outlineLvl w:val="0"/>
        <w:rPr>
          <w:rFonts w:ascii="黑体" w:hAnsi="黑体" w:eastAsia="黑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0"/>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0"/>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0"/>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0"/>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0"/>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0"/>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0"/>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0"/>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0"/>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0"/>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0"/>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0"/>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0"/>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0"/>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0"/>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0"/>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0"/>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0"/>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Wingdings 2">
    <w:altName w:val="MT Extra"/>
    <w:panose1 w:val="05020102010507070707"/>
    <w:charset w:val="02"/>
    <w:family w:val="decorative"/>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decorative"/>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22143EC"/>
    <w:rsid w:val="04472A79"/>
    <w:rsid w:val="05034C75"/>
    <w:rsid w:val="067D17F3"/>
    <w:rsid w:val="0BC11EE9"/>
    <w:rsid w:val="0BFDA643"/>
    <w:rsid w:val="0CA27F6D"/>
    <w:rsid w:val="0D0A1357"/>
    <w:rsid w:val="0D235CDE"/>
    <w:rsid w:val="0D841421"/>
    <w:rsid w:val="0E2436DF"/>
    <w:rsid w:val="0EAFFE13"/>
    <w:rsid w:val="0EBD0938"/>
    <w:rsid w:val="0F2C7FC2"/>
    <w:rsid w:val="0F6A6E6B"/>
    <w:rsid w:val="0FBF4992"/>
    <w:rsid w:val="0FDB09EB"/>
    <w:rsid w:val="0FDD5904"/>
    <w:rsid w:val="10EC17B7"/>
    <w:rsid w:val="12DA28E8"/>
    <w:rsid w:val="13565192"/>
    <w:rsid w:val="1398780B"/>
    <w:rsid w:val="145C557C"/>
    <w:rsid w:val="158F4E06"/>
    <w:rsid w:val="15FE3B78"/>
    <w:rsid w:val="16041350"/>
    <w:rsid w:val="172F68E4"/>
    <w:rsid w:val="179D1A5D"/>
    <w:rsid w:val="17B86E19"/>
    <w:rsid w:val="18185587"/>
    <w:rsid w:val="18291542"/>
    <w:rsid w:val="186407CC"/>
    <w:rsid w:val="19F1336E"/>
    <w:rsid w:val="19F43268"/>
    <w:rsid w:val="19FBB57E"/>
    <w:rsid w:val="1AB84C4F"/>
    <w:rsid w:val="1AE3E9B7"/>
    <w:rsid w:val="1B2D8937"/>
    <w:rsid w:val="1BDD2BE1"/>
    <w:rsid w:val="1C63577B"/>
    <w:rsid w:val="1CDF53C0"/>
    <w:rsid w:val="1D596D99"/>
    <w:rsid w:val="1E202CF1"/>
    <w:rsid w:val="1F9A4CB0"/>
    <w:rsid w:val="20C5525C"/>
    <w:rsid w:val="20D83B05"/>
    <w:rsid w:val="21512926"/>
    <w:rsid w:val="21827C04"/>
    <w:rsid w:val="22207FFF"/>
    <w:rsid w:val="23BC326A"/>
    <w:rsid w:val="23EBF95F"/>
    <w:rsid w:val="24074DC2"/>
    <w:rsid w:val="240E19B7"/>
    <w:rsid w:val="25903571"/>
    <w:rsid w:val="26094761"/>
    <w:rsid w:val="264D0715"/>
    <w:rsid w:val="272555CB"/>
    <w:rsid w:val="274F0C47"/>
    <w:rsid w:val="298A3D09"/>
    <w:rsid w:val="29A80A9E"/>
    <w:rsid w:val="2A9071FF"/>
    <w:rsid w:val="2B176FCC"/>
    <w:rsid w:val="2BD36676"/>
    <w:rsid w:val="2C486806"/>
    <w:rsid w:val="2D172C70"/>
    <w:rsid w:val="2D8F379E"/>
    <w:rsid w:val="2D9B2143"/>
    <w:rsid w:val="2DA6475A"/>
    <w:rsid w:val="2E112405"/>
    <w:rsid w:val="2E3D144C"/>
    <w:rsid w:val="2F4F7689"/>
    <w:rsid w:val="2F5FD4B2"/>
    <w:rsid w:val="3062639E"/>
    <w:rsid w:val="30B453C0"/>
    <w:rsid w:val="318D26EA"/>
    <w:rsid w:val="32290665"/>
    <w:rsid w:val="327318E0"/>
    <w:rsid w:val="33154729"/>
    <w:rsid w:val="33BF2903"/>
    <w:rsid w:val="34486852"/>
    <w:rsid w:val="34847DD4"/>
    <w:rsid w:val="34DF51DF"/>
    <w:rsid w:val="3659CF09"/>
    <w:rsid w:val="371D201C"/>
    <w:rsid w:val="37D7D64D"/>
    <w:rsid w:val="37DD58B2"/>
    <w:rsid w:val="37E6C5A9"/>
    <w:rsid w:val="37ED9385"/>
    <w:rsid w:val="37FE66BC"/>
    <w:rsid w:val="37FE75B6"/>
    <w:rsid w:val="381C424B"/>
    <w:rsid w:val="3862042D"/>
    <w:rsid w:val="388D536B"/>
    <w:rsid w:val="389F4E2A"/>
    <w:rsid w:val="396975B0"/>
    <w:rsid w:val="39836E80"/>
    <w:rsid w:val="39FB7351"/>
    <w:rsid w:val="3A797CAF"/>
    <w:rsid w:val="3ACBD264"/>
    <w:rsid w:val="3AD7394F"/>
    <w:rsid w:val="3B6224F2"/>
    <w:rsid w:val="3BB93E68"/>
    <w:rsid w:val="3BBF513D"/>
    <w:rsid w:val="3BFBAC74"/>
    <w:rsid w:val="3CBE19AA"/>
    <w:rsid w:val="3CDEB68B"/>
    <w:rsid w:val="3D1E4B3E"/>
    <w:rsid w:val="3D2F28A7"/>
    <w:rsid w:val="3D5E58F7"/>
    <w:rsid w:val="3D6064EF"/>
    <w:rsid w:val="3DB26019"/>
    <w:rsid w:val="3DCF8497"/>
    <w:rsid w:val="3DDA0E2F"/>
    <w:rsid w:val="3DEF2F52"/>
    <w:rsid w:val="3E5D256C"/>
    <w:rsid w:val="3EA05CBF"/>
    <w:rsid w:val="3EE4B5F7"/>
    <w:rsid w:val="3EF96906"/>
    <w:rsid w:val="3F4B7F0F"/>
    <w:rsid w:val="3F4F1BC3"/>
    <w:rsid w:val="3F59FBCB"/>
    <w:rsid w:val="3FBA75E8"/>
    <w:rsid w:val="3FCE91F8"/>
    <w:rsid w:val="3FEDB705"/>
    <w:rsid w:val="3FF311E4"/>
    <w:rsid w:val="3FF76A73"/>
    <w:rsid w:val="3FFBA2A1"/>
    <w:rsid w:val="3FFF7528"/>
    <w:rsid w:val="40C559FD"/>
    <w:rsid w:val="419B49AF"/>
    <w:rsid w:val="42005B16"/>
    <w:rsid w:val="42E47C90"/>
    <w:rsid w:val="430622FC"/>
    <w:rsid w:val="43EB2EA4"/>
    <w:rsid w:val="442246DB"/>
    <w:rsid w:val="4484797D"/>
    <w:rsid w:val="44C8791D"/>
    <w:rsid w:val="450F36EA"/>
    <w:rsid w:val="45B24076"/>
    <w:rsid w:val="46467707"/>
    <w:rsid w:val="467B6220"/>
    <w:rsid w:val="47337DB9"/>
    <w:rsid w:val="47522184"/>
    <w:rsid w:val="47D41179"/>
    <w:rsid w:val="484A4788"/>
    <w:rsid w:val="493556E9"/>
    <w:rsid w:val="4976569D"/>
    <w:rsid w:val="49BA48C9"/>
    <w:rsid w:val="49CF1E07"/>
    <w:rsid w:val="4ABE4612"/>
    <w:rsid w:val="4B4E0679"/>
    <w:rsid w:val="4BB22BD9"/>
    <w:rsid w:val="4D1D4262"/>
    <w:rsid w:val="4D1F0243"/>
    <w:rsid w:val="4D3B4D64"/>
    <w:rsid w:val="4DBE96BF"/>
    <w:rsid w:val="4E3F6FA8"/>
    <w:rsid w:val="4E761A7B"/>
    <w:rsid w:val="4EFDF4D7"/>
    <w:rsid w:val="4FA233AD"/>
    <w:rsid w:val="4FFF2D6A"/>
    <w:rsid w:val="50227C85"/>
    <w:rsid w:val="50D97BF5"/>
    <w:rsid w:val="510C05F6"/>
    <w:rsid w:val="51164E29"/>
    <w:rsid w:val="51663C9A"/>
    <w:rsid w:val="51774FE5"/>
    <w:rsid w:val="51D43D07"/>
    <w:rsid w:val="528B5FFB"/>
    <w:rsid w:val="5314426D"/>
    <w:rsid w:val="541F721C"/>
    <w:rsid w:val="54801843"/>
    <w:rsid w:val="54EE666D"/>
    <w:rsid w:val="5599D6D3"/>
    <w:rsid w:val="561F0B20"/>
    <w:rsid w:val="56963A5E"/>
    <w:rsid w:val="56EF634F"/>
    <w:rsid w:val="56FF222C"/>
    <w:rsid w:val="570B1F9E"/>
    <w:rsid w:val="570C5CDB"/>
    <w:rsid w:val="57B79897"/>
    <w:rsid w:val="57F5C41D"/>
    <w:rsid w:val="585146C8"/>
    <w:rsid w:val="59AD6BD6"/>
    <w:rsid w:val="59ADC631"/>
    <w:rsid w:val="5A0A04CC"/>
    <w:rsid w:val="5AFF321E"/>
    <w:rsid w:val="5B4E7A84"/>
    <w:rsid w:val="5B7EA3E9"/>
    <w:rsid w:val="5B9D1B1E"/>
    <w:rsid w:val="5BCC5A39"/>
    <w:rsid w:val="5BEF9706"/>
    <w:rsid w:val="5BFFE157"/>
    <w:rsid w:val="5C9E5420"/>
    <w:rsid w:val="5CAC6A8A"/>
    <w:rsid w:val="5D064F7B"/>
    <w:rsid w:val="5D5FCA30"/>
    <w:rsid w:val="5DB612F6"/>
    <w:rsid w:val="5DEB6D7F"/>
    <w:rsid w:val="5DF76BE1"/>
    <w:rsid w:val="5DFD7922"/>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E5A510"/>
    <w:rsid w:val="625C7A39"/>
    <w:rsid w:val="62F021A1"/>
    <w:rsid w:val="63490BD7"/>
    <w:rsid w:val="638763D9"/>
    <w:rsid w:val="63A364B9"/>
    <w:rsid w:val="63BE1555"/>
    <w:rsid w:val="63FA6B1B"/>
    <w:rsid w:val="647F13A0"/>
    <w:rsid w:val="64B79261"/>
    <w:rsid w:val="64D33A17"/>
    <w:rsid w:val="658E3D60"/>
    <w:rsid w:val="65F9C941"/>
    <w:rsid w:val="66703608"/>
    <w:rsid w:val="66EDEF08"/>
    <w:rsid w:val="66F355ED"/>
    <w:rsid w:val="66FFF09D"/>
    <w:rsid w:val="677A0108"/>
    <w:rsid w:val="679F2D57"/>
    <w:rsid w:val="679F61E3"/>
    <w:rsid w:val="67B236E0"/>
    <w:rsid w:val="67DD9C20"/>
    <w:rsid w:val="67FF0B6A"/>
    <w:rsid w:val="67FFD784"/>
    <w:rsid w:val="68F842D5"/>
    <w:rsid w:val="68FB333A"/>
    <w:rsid w:val="692C7B17"/>
    <w:rsid w:val="693C34D0"/>
    <w:rsid w:val="6A2B31C3"/>
    <w:rsid w:val="6AF369C1"/>
    <w:rsid w:val="6B1E73CA"/>
    <w:rsid w:val="6B7F24B4"/>
    <w:rsid w:val="6BC95AF1"/>
    <w:rsid w:val="6BEBED43"/>
    <w:rsid w:val="6BFF439A"/>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DFA327"/>
    <w:rsid w:val="6FEF813C"/>
    <w:rsid w:val="6FFEBBA4"/>
    <w:rsid w:val="6FFF2EE4"/>
    <w:rsid w:val="70657DB3"/>
    <w:rsid w:val="706933FF"/>
    <w:rsid w:val="708E10B8"/>
    <w:rsid w:val="71B9DEF1"/>
    <w:rsid w:val="71D68E8F"/>
    <w:rsid w:val="72A619EF"/>
    <w:rsid w:val="72BD28C7"/>
    <w:rsid w:val="72E07771"/>
    <w:rsid w:val="734327DB"/>
    <w:rsid w:val="734F0FD2"/>
    <w:rsid w:val="737415B2"/>
    <w:rsid w:val="737782FA"/>
    <w:rsid w:val="73FE15E2"/>
    <w:rsid w:val="743712E6"/>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E8BE0"/>
    <w:rsid w:val="77D731B2"/>
    <w:rsid w:val="77EE2232"/>
    <w:rsid w:val="77EE2B35"/>
    <w:rsid w:val="77F78E5A"/>
    <w:rsid w:val="77F79C87"/>
    <w:rsid w:val="77FB7C32"/>
    <w:rsid w:val="77FED90E"/>
    <w:rsid w:val="78AE0E5B"/>
    <w:rsid w:val="78FFED4B"/>
    <w:rsid w:val="79B78283"/>
    <w:rsid w:val="79D0253E"/>
    <w:rsid w:val="79EFA7F3"/>
    <w:rsid w:val="79F7B33A"/>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BF148E3"/>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2"/>
    <w:unhideWhenUsed/>
    <w:qFormat/>
    <w:uiPriority w:val="99"/>
    <w:rPr>
      <w:b/>
      <w:bCs/>
    </w:rPr>
  </w:style>
  <w:style w:type="paragraph" w:styleId="7">
    <w:name w:val="annotation text"/>
    <w:basedOn w:val="1"/>
    <w:link w:val="43"/>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4"/>
    <w:qFormat/>
    <w:uiPriority w:val="0"/>
    <w:rPr>
      <w:szCs w:val="20"/>
      <w:lang w:bidi="mn-Mong-CN"/>
    </w:rPr>
  </w:style>
  <w:style w:type="paragraph" w:styleId="10">
    <w:name w:val="Body Text"/>
    <w:basedOn w:val="1"/>
    <w:next w:val="1"/>
    <w:link w:val="40"/>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5"/>
    <w:unhideWhenUsed/>
    <w:qFormat/>
    <w:uiPriority w:val="99"/>
    <w:pPr>
      <w:ind w:left="100" w:leftChars="2500"/>
    </w:pPr>
  </w:style>
  <w:style w:type="paragraph" w:styleId="15">
    <w:name w:val="Body Text Indent 2"/>
    <w:basedOn w:val="1"/>
    <w:link w:val="46"/>
    <w:qFormat/>
    <w:uiPriority w:val="0"/>
    <w:pPr>
      <w:spacing w:after="120" w:line="480" w:lineRule="auto"/>
      <w:ind w:left="420" w:leftChars="200" w:firstLine="200" w:firstLineChars="200"/>
    </w:pPr>
    <w:rPr>
      <w:szCs w:val="24"/>
    </w:rPr>
  </w:style>
  <w:style w:type="paragraph" w:styleId="16">
    <w:name w:val="endnote text"/>
    <w:basedOn w:val="1"/>
    <w:link w:val="47"/>
    <w:unhideWhenUsed/>
    <w:qFormat/>
    <w:uiPriority w:val="99"/>
    <w:pPr>
      <w:snapToGrid w:val="0"/>
      <w:jc w:val="left"/>
    </w:pPr>
  </w:style>
  <w:style w:type="paragraph" w:styleId="17">
    <w:name w:val="Balloon Text"/>
    <w:basedOn w:val="1"/>
    <w:link w:val="48"/>
    <w:unhideWhenUsed/>
    <w:qFormat/>
    <w:uiPriority w:val="99"/>
    <w:rPr>
      <w:sz w:val="18"/>
      <w:szCs w:val="18"/>
    </w:rPr>
  </w:style>
  <w:style w:type="paragraph" w:styleId="18">
    <w:name w:val="footer"/>
    <w:basedOn w:val="1"/>
    <w:link w:val="49"/>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1"/>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8">
    <w:name w:val="Strong"/>
    <w:qFormat/>
    <w:uiPriority w:val="22"/>
    <w:rPr>
      <w:b/>
      <w:bCs/>
    </w:rPr>
  </w:style>
  <w:style w:type="character" w:styleId="29">
    <w:name w:val="endnote reference"/>
    <w:unhideWhenUsed/>
    <w:qFormat/>
    <w:uiPriority w:val="99"/>
    <w:rPr>
      <w:vertAlign w:val="superscript"/>
    </w:rPr>
  </w:style>
  <w:style w:type="character" w:styleId="30">
    <w:name w:val="page number"/>
    <w:qFormat/>
    <w:uiPriority w:val="0"/>
    <w:rPr>
      <w:rFonts w:ascii="Times New Roman" w:hAnsi="Times New Roman" w:eastAsia="宋体"/>
      <w:sz w:val="18"/>
    </w:rPr>
  </w:style>
  <w:style w:type="character" w:styleId="31">
    <w:name w:val="Emphasis"/>
    <w:qFormat/>
    <w:uiPriority w:val="20"/>
    <w:rPr>
      <w:i/>
    </w:rPr>
  </w:style>
  <w:style w:type="character" w:styleId="32">
    <w:name w:val="Hyperlink"/>
    <w:basedOn w:val="27"/>
    <w:unhideWhenUsed/>
    <w:qFormat/>
    <w:uiPriority w:val="99"/>
    <w:rPr>
      <w:color w:val="0563C1"/>
      <w:u w:val="single"/>
    </w:rPr>
  </w:style>
  <w:style w:type="character" w:styleId="33">
    <w:name w:val="annotation reference"/>
    <w:unhideWhenUsed/>
    <w:qFormat/>
    <w:uiPriority w:val="99"/>
    <w:rPr>
      <w:sz w:val="21"/>
      <w:szCs w:val="21"/>
    </w:rPr>
  </w:style>
  <w:style w:type="character" w:styleId="34">
    <w:name w:val="footnote reference"/>
    <w:unhideWhenUsed/>
    <w:qFormat/>
    <w:uiPriority w:val="99"/>
    <w:rPr>
      <w:vertAlign w:val="superscript"/>
    </w:rPr>
  </w:style>
  <w:style w:type="table" w:styleId="36">
    <w:name w:val="Table Grid"/>
    <w:basedOn w:val="35"/>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7">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38">
    <w:name w:val="标题 1 字符"/>
    <w:qFormat/>
    <w:uiPriority w:val="0"/>
    <w:rPr>
      <w:b/>
      <w:bCs/>
      <w:kern w:val="44"/>
      <w:sz w:val="44"/>
      <w:szCs w:val="44"/>
    </w:rPr>
  </w:style>
  <w:style w:type="character" w:customStyle="1" w:styleId="39">
    <w:name w:val="标题 2 Char"/>
    <w:qFormat/>
    <w:uiPriority w:val="0"/>
    <w:rPr>
      <w:rFonts w:ascii="楷体_GB2312" w:hAnsi="Times New Roman" w:eastAsia="楷体_GB2312" w:cs="Times New Roman"/>
      <w:kern w:val="2"/>
      <w:sz w:val="32"/>
      <w:szCs w:val="32"/>
    </w:rPr>
  </w:style>
  <w:style w:type="character" w:customStyle="1" w:styleId="40">
    <w:name w:val="正文文本 字符1"/>
    <w:link w:val="10"/>
    <w:qFormat/>
    <w:uiPriority w:val="0"/>
    <w:rPr>
      <w:rFonts w:ascii="仿宋_GB2312" w:hAnsi="仿宋_GB2312" w:eastAsia="仿宋_GB2312" w:cs="Times New Roman"/>
      <w:sz w:val="30"/>
      <w:szCs w:val="30"/>
      <w:lang w:eastAsia="en-US" w:bidi="ar-SA"/>
    </w:rPr>
  </w:style>
  <w:style w:type="character" w:customStyle="1" w:styleId="41">
    <w:name w:val="标题 1 字符1"/>
    <w:link w:val="2"/>
    <w:qFormat/>
    <w:uiPriority w:val="0"/>
    <w:rPr>
      <w:rFonts w:ascii="等线" w:hAnsi="等线" w:eastAsia="等线" w:cs="Times New Roman"/>
      <w:b/>
      <w:bCs/>
      <w:kern w:val="44"/>
      <w:sz w:val="44"/>
      <w:szCs w:val="44"/>
      <w:lang w:bidi="ar-SA"/>
    </w:rPr>
  </w:style>
  <w:style w:type="character" w:customStyle="1" w:styleId="42">
    <w:name w:val="标题 2 字符"/>
    <w:link w:val="3"/>
    <w:qFormat/>
    <w:uiPriority w:val="9"/>
    <w:rPr>
      <w:rFonts w:ascii="Calibri Light" w:hAnsi="Calibri Light" w:eastAsia="宋体" w:cs="Mongolian Baiti"/>
      <w:b/>
      <w:bCs/>
      <w:sz w:val="32"/>
      <w:szCs w:val="32"/>
      <w:lang w:bidi="ar-SA"/>
    </w:rPr>
  </w:style>
  <w:style w:type="character" w:customStyle="1" w:styleId="43">
    <w:name w:val="批注文字 字符"/>
    <w:link w:val="7"/>
    <w:qFormat/>
    <w:uiPriority w:val="99"/>
    <w:rPr>
      <w:rFonts w:ascii="Times New Roman" w:hAnsi="Times New Roman" w:eastAsia="宋体" w:cs="Times New Roman"/>
      <w:szCs w:val="22"/>
      <w:lang w:bidi="ar-SA"/>
    </w:rPr>
  </w:style>
  <w:style w:type="character" w:customStyle="1" w:styleId="44">
    <w:name w:val="称呼 字符"/>
    <w:link w:val="9"/>
    <w:qFormat/>
    <w:uiPriority w:val="0"/>
    <w:rPr>
      <w:rFonts w:ascii="Times New Roman" w:hAnsi="Times New Roman" w:eastAsia="宋体" w:cs="Times New Roman"/>
      <w:kern w:val="2"/>
      <w:sz w:val="21"/>
    </w:rPr>
  </w:style>
  <w:style w:type="character" w:customStyle="1" w:styleId="45">
    <w:name w:val="日期 字符"/>
    <w:link w:val="14"/>
    <w:semiHidden/>
    <w:qFormat/>
    <w:uiPriority w:val="99"/>
    <w:rPr>
      <w:rFonts w:ascii="Times New Roman" w:hAnsi="Times New Roman" w:eastAsia="宋体" w:cs="Times New Roman"/>
      <w:kern w:val="2"/>
      <w:sz w:val="21"/>
      <w:szCs w:val="22"/>
      <w:lang w:bidi="ar-SA"/>
    </w:rPr>
  </w:style>
  <w:style w:type="character" w:customStyle="1" w:styleId="46">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7">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8">
    <w:name w:val="批注框文本 字符"/>
    <w:link w:val="17"/>
    <w:semiHidden/>
    <w:qFormat/>
    <w:uiPriority w:val="99"/>
    <w:rPr>
      <w:rFonts w:ascii="Times New Roman" w:hAnsi="Times New Roman" w:eastAsia="宋体" w:cs="Times New Roman"/>
      <w:sz w:val="18"/>
      <w:szCs w:val="18"/>
      <w:lang w:bidi="ar-SA"/>
    </w:rPr>
  </w:style>
  <w:style w:type="character" w:customStyle="1" w:styleId="49">
    <w:name w:val="页脚 字符"/>
    <w:link w:val="18"/>
    <w:qFormat/>
    <w:uiPriority w:val="99"/>
    <w:rPr>
      <w:rFonts w:ascii="等线" w:hAnsi="等线" w:eastAsia="等线" w:cs="Times New Roman"/>
      <w:sz w:val="18"/>
      <w:szCs w:val="18"/>
      <w:lang w:bidi="ar-SA"/>
    </w:rPr>
  </w:style>
  <w:style w:type="character" w:customStyle="1" w:styleId="50">
    <w:name w:val="页眉 字符"/>
    <w:link w:val="19"/>
    <w:qFormat/>
    <w:uiPriority w:val="99"/>
    <w:rPr>
      <w:kern w:val="2"/>
      <w:sz w:val="18"/>
      <w:szCs w:val="18"/>
      <w:lang w:bidi="ar-SA"/>
    </w:rPr>
  </w:style>
  <w:style w:type="character" w:customStyle="1" w:styleId="51">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2">
    <w:name w:val="批注主题 字符"/>
    <w:link w:val="6"/>
    <w:semiHidden/>
    <w:qFormat/>
    <w:uiPriority w:val="99"/>
    <w:rPr>
      <w:rFonts w:ascii="Times New Roman" w:hAnsi="Times New Roman" w:eastAsia="宋体" w:cs="Times New Roman"/>
      <w:b/>
      <w:bCs/>
      <w:szCs w:val="22"/>
      <w:lang w:bidi="ar-SA"/>
    </w:rPr>
  </w:style>
  <w:style w:type="character" w:customStyle="1" w:styleId="53">
    <w:name w:val="标题 1 Char"/>
    <w:qFormat/>
    <w:uiPriority w:val="0"/>
    <w:rPr>
      <w:rFonts w:ascii="Times New Roman" w:hAnsi="Times New Roman" w:eastAsia="宋体" w:cs="Times New Roman"/>
      <w:b/>
      <w:bCs/>
      <w:kern w:val="44"/>
      <w:sz w:val="44"/>
      <w:szCs w:val="44"/>
      <w:lang w:bidi="ar-SA"/>
    </w:rPr>
  </w:style>
  <w:style w:type="paragraph" w:customStyle="1" w:styleId="54">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5">
    <w:name w:val="导则标题2"/>
    <w:basedOn w:val="3"/>
    <w:link w:val="56"/>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6">
    <w:name w:val="导则标题2 Char"/>
    <w:link w:val="55"/>
    <w:qFormat/>
    <w:uiPriority w:val="0"/>
    <w:rPr>
      <w:rFonts w:ascii="黑体" w:hAnsi="黑体" w:eastAsia="黑体" w:cs="Times New Roman"/>
      <w:bCs/>
      <w:sz w:val="24"/>
      <w:szCs w:val="24"/>
      <w:lang w:val="zh-CN" w:eastAsia="zh-CN" w:bidi="ar-SA"/>
    </w:rPr>
  </w:style>
  <w:style w:type="paragraph" w:customStyle="1" w:styleId="57">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8">
    <w:name w:val="正文文本 Char"/>
    <w:semiHidden/>
    <w:qFormat/>
    <w:uiPriority w:val="99"/>
    <w:rPr>
      <w:rFonts w:ascii="Times New Roman" w:hAnsi="Times New Roman" w:eastAsia="宋体" w:cs="Times New Roman"/>
      <w:kern w:val="2"/>
      <w:sz w:val="21"/>
      <w:szCs w:val="22"/>
      <w:lang w:bidi="ar-SA"/>
    </w:rPr>
  </w:style>
  <w:style w:type="paragraph" w:customStyle="1" w:styleId="59">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60">
    <w:name w:val="页脚 Char"/>
    <w:semiHidden/>
    <w:qFormat/>
    <w:uiPriority w:val="99"/>
    <w:rPr>
      <w:rFonts w:ascii="Times New Roman" w:hAnsi="Times New Roman" w:eastAsia="宋体" w:cs="Times New Roman"/>
      <w:kern w:val="2"/>
      <w:sz w:val="18"/>
      <w:szCs w:val="18"/>
      <w:lang w:bidi="ar-SA"/>
    </w:rPr>
  </w:style>
  <w:style w:type="paragraph" w:customStyle="1" w:styleId="6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2">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3">
    <w:name w:val="_Style 30"/>
    <w:basedOn w:val="1"/>
    <w:next w:val="1"/>
    <w:unhideWhenUsed/>
    <w:qFormat/>
    <w:uiPriority w:val="39"/>
    <w:pPr>
      <w:spacing w:before="120" w:after="120"/>
      <w:jc w:val="left"/>
    </w:pPr>
    <w:rPr>
      <w:rFonts w:ascii="等线" w:hAnsi="等线" w:eastAsia="等线"/>
      <w:b/>
      <w:bCs/>
      <w:caps/>
      <w:sz w:val="20"/>
      <w:szCs w:val="20"/>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79">
    <w:name w:val="_Style 76"/>
    <w:basedOn w:val="1"/>
    <w:next w:val="80"/>
    <w:qFormat/>
    <w:uiPriority w:val="34"/>
    <w:pPr>
      <w:ind w:firstLine="420" w:firstLineChars="200"/>
    </w:pPr>
    <w:rPr>
      <w:rFonts w:ascii="等线" w:hAnsi="等线" w:eastAsia="等线"/>
    </w:rPr>
  </w:style>
  <w:style w:type="paragraph" w:styleId="80">
    <w:name w:val="List Paragraph"/>
    <w:basedOn w:val="1"/>
    <w:qFormat/>
    <w:uiPriority w:val="99"/>
    <w:pPr>
      <w:ind w:firstLine="420" w:firstLineChars="200"/>
    </w:pPr>
  </w:style>
  <w:style w:type="paragraph" w:customStyle="1" w:styleId="81">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2">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3">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4">
    <w:name w:val="Char1"/>
    <w:basedOn w:val="1"/>
    <w:qFormat/>
    <w:uiPriority w:val="0"/>
    <w:rPr>
      <w:szCs w:val="24"/>
    </w:rPr>
  </w:style>
  <w:style w:type="paragraph" w:customStyle="1" w:styleId="85">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6">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8">
    <w:name w:val="标题 4 字符"/>
    <w:basedOn w:val="27"/>
    <w:link w:val="5"/>
    <w:qFormat/>
    <w:uiPriority w:val="0"/>
    <w:rPr>
      <w:rFonts w:asciiTheme="majorHAnsi" w:hAnsiTheme="majorHAnsi" w:eastAsiaTheme="majorEastAsia" w:cstheme="majorBidi"/>
      <w:b/>
      <w:bCs/>
      <w:kern w:val="2"/>
      <w:sz w:val="28"/>
      <w:szCs w:val="28"/>
    </w:rPr>
  </w:style>
  <w:style w:type="paragraph" w:customStyle="1" w:styleId="89">
    <w:name w:val="Char2"/>
    <w:basedOn w:val="1"/>
    <w:qFormat/>
    <w:uiPriority w:val="0"/>
    <w:rPr>
      <w:szCs w:val="24"/>
    </w:rPr>
  </w:style>
  <w:style w:type="paragraph" w:customStyle="1" w:styleId="90">
    <w:name w:val="Char3"/>
    <w:basedOn w:val="1"/>
    <w:qFormat/>
    <w:uiPriority w:val="0"/>
    <w:rPr>
      <w:szCs w:val="24"/>
    </w:rPr>
  </w:style>
  <w:style w:type="paragraph" w:customStyle="1" w:styleId="91">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2872</Words>
  <Characters>3114</Characters>
  <Lines>26</Lines>
  <Paragraphs>7</Paragraphs>
  <TotalTime>0</TotalTime>
  <ScaleCrop>false</ScaleCrop>
  <LinksUpToDate>false</LinksUpToDate>
  <CharactersWithSpaces>3244</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2024-12-26T15:40:00Z</cp:lastPrinted>
  <dcterms:modified xsi:type="dcterms:W3CDTF">2025-03-28T18:10:07Z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671B29F62CBB4CA39C660EB64B5098A6_13</vt:lpwstr>
  </property>
  <property fmtid="{D5CDD505-2E9C-101B-9397-08002B2CF9AE}" pid="4" name="KSOTemplateDocerSaveRecord">
    <vt:lpwstr>eyJoZGlkIjoiNGY1NDE1MzQ5OTI2ZTAxMDBjYjRmM2RkYzlhM2Y5MTUifQ==</vt:lpwstr>
  </property>
</Properties>
</file>